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96" w:rsidRPr="0036579A" w:rsidRDefault="003C2B96" w:rsidP="00975249">
      <w:pPr>
        <w:jc w:val="center"/>
        <w:rPr>
          <w:rFonts w:cstheme="minorHAnsi"/>
          <w:sz w:val="36"/>
          <w:szCs w:val="32"/>
        </w:rPr>
      </w:pPr>
    </w:p>
    <w:p w:rsidR="000C727B" w:rsidRPr="0036579A" w:rsidRDefault="00975249" w:rsidP="00975249">
      <w:pPr>
        <w:jc w:val="center"/>
        <w:rPr>
          <w:rFonts w:cstheme="minorHAnsi"/>
          <w:sz w:val="28"/>
          <w:szCs w:val="24"/>
        </w:rPr>
      </w:pPr>
      <w:r w:rsidRPr="0036579A">
        <w:rPr>
          <w:noProof/>
          <w:sz w:val="24"/>
          <w:lang w:eastAsia="en-GB"/>
        </w:rPr>
        <w:drawing>
          <wp:inline distT="0" distB="0" distL="0" distR="0" wp14:anchorId="5FCD9E8E" wp14:editId="6E488CF8">
            <wp:extent cx="1122816" cy="1266825"/>
            <wp:effectExtent l="0" t="0" r="1270" b="0"/>
            <wp:docPr id="2" name="Picture 2" descr="\\bex-file-02\teachingstaffhome$\FISHER_A\My Pictures\asterix-obel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x-file-02\teachingstaffhome$\FISHER_A\My Pictures\asterix-obel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1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49" w:rsidRPr="0036579A" w:rsidRDefault="00975249">
      <w:pPr>
        <w:rPr>
          <w:rFonts w:cstheme="minorHAnsi"/>
          <w:sz w:val="28"/>
          <w:szCs w:val="24"/>
        </w:rPr>
      </w:pPr>
    </w:p>
    <w:p w:rsidR="00975249" w:rsidRPr="0036579A" w:rsidRDefault="00975249" w:rsidP="00975249">
      <w:pPr>
        <w:jc w:val="center"/>
        <w:rPr>
          <w:rFonts w:cstheme="minorHAnsi"/>
          <w:sz w:val="40"/>
          <w:szCs w:val="36"/>
        </w:rPr>
      </w:pPr>
      <w:r w:rsidRPr="0036579A">
        <w:rPr>
          <w:rFonts w:cstheme="minorHAnsi"/>
          <w:sz w:val="40"/>
          <w:szCs w:val="36"/>
        </w:rPr>
        <w:t>WELCOME TO YEAR 9 LATIN</w:t>
      </w:r>
    </w:p>
    <w:p w:rsidR="00975249" w:rsidRPr="0036579A" w:rsidRDefault="00975249">
      <w:pPr>
        <w:rPr>
          <w:rFonts w:cstheme="minorHAnsi"/>
          <w:sz w:val="28"/>
          <w:szCs w:val="24"/>
        </w:rPr>
      </w:pPr>
    </w:p>
    <w:p w:rsidR="003958CB" w:rsidRPr="0036579A" w:rsidRDefault="000C727B">
      <w:p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 xml:space="preserve">This year will comprise a combination of language work and cultural study. </w:t>
      </w:r>
    </w:p>
    <w:p w:rsidR="003958CB" w:rsidRPr="0036579A" w:rsidRDefault="003958CB">
      <w:pPr>
        <w:rPr>
          <w:rFonts w:cstheme="minorHAnsi"/>
          <w:sz w:val="32"/>
          <w:szCs w:val="28"/>
        </w:rPr>
      </w:pPr>
    </w:p>
    <w:p w:rsidR="003958CB" w:rsidRPr="0036579A" w:rsidRDefault="003958CB">
      <w:p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Cultural Study</w:t>
      </w:r>
      <w:r w:rsidR="00975249" w:rsidRPr="0036579A">
        <w:rPr>
          <w:rFonts w:cstheme="minorHAnsi"/>
          <w:sz w:val="32"/>
          <w:szCs w:val="28"/>
        </w:rPr>
        <w:t xml:space="preserve">: </w:t>
      </w:r>
      <w:r w:rsidR="000C727B" w:rsidRPr="0036579A">
        <w:rPr>
          <w:rFonts w:cstheme="minorHAnsi"/>
          <w:sz w:val="32"/>
          <w:szCs w:val="28"/>
        </w:rPr>
        <w:t xml:space="preserve">ASSIMILATION, DOMINATION and the POWER OF THE WRITTEN WORD. </w:t>
      </w:r>
    </w:p>
    <w:p w:rsidR="000C727B" w:rsidRPr="0036579A" w:rsidRDefault="000C727B">
      <w:p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We will be looking at the Romans in Britain in terms of their means of gaining and maintaining control. As such this is similar to a case study of any civilisation</w:t>
      </w:r>
      <w:r w:rsidR="00975249" w:rsidRPr="0036579A">
        <w:rPr>
          <w:rFonts w:cstheme="minorHAnsi"/>
          <w:sz w:val="32"/>
          <w:szCs w:val="28"/>
        </w:rPr>
        <w:t>, contemporary, recent or ancient</w:t>
      </w:r>
      <w:r w:rsidRPr="0036579A">
        <w:rPr>
          <w:rFonts w:cstheme="minorHAnsi"/>
          <w:sz w:val="32"/>
          <w:szCs w:val="28"/>
        </w:rPr>
        <w:t>.</w:t>
      </w:r>
    </w:p>
    <w:p w:rsidR="00975249" w:rsidRPr="0036579A" w:rsidRDefault="00975249">
      <w:pPr>
        <w:rPr>
          <w:rFonts w:cstheme="minorHAnsi"/>
          <w:sz w:val="32"/>
          <w:szCs w:val="28"/>
        </w:rPr>
      </w:pPr>
    </w:p>
    <w:p w:rsidR="00975249" w:rsidRPr="0036579A" w:rsidRDefault="00975249" w:rsidP="00975249">
      <w:pPr>
        <w:pStyle w:val="ListParagraph"/>
        <w:numPr>
          <w:ilvl w:val="0"/>
          <w:numId w:val="1"/>
        </w:num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Assimilation: how they brought other peoples into their empire and kept them there</w:t>
      </w:r>
    </w:p>
    <w:p w:rsidR="00975249" w:rsidRPr="0036579A" w:rsidRDefault="00975249" w:rsidP="00975249">
      <w:pPr>
        <w:pStyle w:val="ListParagraph"/>
        <w:numPr>
          <w:ilvl w:val="0"/>
          <w:numId w:val="1"/>
        </w:num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Domination: how they achieved domination over such a wide area for so long</w:t>
      </w:r>
    </w:p>
    <w:p w:rsidR="00975249" w:rsidRPr="0036579A" w:rsidRDefault="00975249" w:rsidP="00975249">
      <w:pPr>
        <w:pStyle w:val="ListParagraph"/>
        <w:numPr>
          <w:ilvl w:val="0"/>
          <w:numId w:val="1"/>
        </w:num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Power of the Written Word: what did they themselves have to say about it?</w:t>
      </w:r>
    </w:p>
    <w:p w:rsidR="000C727B" w:rsidRPr="0036579A" w:rsidRDefault="000C727B">
      <w:pPr>
        <w:rPr>
          <w:rFonts w:cstheme="minorHAnsi"/>
          <w:sz w:val="32"/>
          <w:szCs w:val="28"/>
        </w:rPr>
      </w:pPr>
    </w:p>
    <w:p w:rsidR="000C727B" w:rsidRPr="0036579A" w:rsidRDefault="000C727B">
      <w:p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We will also be building on the grammar you have covered in Years 7&amp;8 with a view to being able to read some ‘real’ Latin in Term Three. This is one of the main reasons for learning Latin at all; to be able to have a chance to appreciate its many and varied forms of literature, and to learn about the culture through the words of its own people.</w:t>
      </w:r>
    </w:p>
    <w:p w:rsidR="000C727B" w:rsidRPr="0036579A" w:rsidRDefault="000C727B">
      <w:pPr>
        <w:rPr>
          <w:rFonts w:cstheme="minorHAnsi"/>
          <w:sz w:val="32"/>
          <w:szCs w:val="28"/>
        </w:rPr>
      </w:pPr>
    </w:p>
    <w:p w:rsidR="000C727B" w:rsidRPr="0036579A" w:rsidRDefault="000C727B">
      <w:p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 xml:space="preserve">At GCSE level, literature comprises one of the two qualifications which Y10 students will be taking. The other is a qualification in Latin Language and Civilisation. Each of these qualifications is equivalent </w:t>
      </w:r>
      <w:r w:rsidRPr="0036579A">
        <w:rPr>
          <w:rFonts w:cstheme="minorHAnsi"/>
          <w:sz w:val="32"/>
          <w:szCs w:val="28"/>
        </w:rPr>
        <w:lastRenderedPageBreak/>
        <w:t>to a full GCSE (like an IGCSE), so you get two for the price of one! Reading the literature therefore is an integral part of any Latin course.</w:t>
      </w:r>
    </w:p>
    <w:p w:rsidR="000C727B" w:rsidRPr="0036579A" w:rsidRDefault="000C727B">
      <w:pPr>
        <w:rPr>
          <w:rFonts w:cstheme="minorHAnsi"/>
          <w:sz w:val="32"/>
          <w:szCs w:val="28"/>
        </w:rPr>
      </w:pPr>
    </w:p>
    <w:p w:rsidR="000C727B" w:rsidRPr="0036579A" w:rsidRDefault="000C727B">
      <w:pPr>
        <w:rPr>
          <w:rFonts w:cstheme="minorHAnsi"/>
          <w:sz w:val="32"/>
          <w:szCs w:val="28"/>
        </w:rPr>
      </w:pPr>
      <w:r w:rsidRPr="0036579A">
        <w:rPr>
          <w:rFonts w:cstheme="minorHAnsi"/>
          <w:sz w:val="32"/>
          <w:szCs w:val="28"/>
        </w:rPr>
        <w:t>You will have an exam part way through the year and the vocabulary assessed in that exam is detailed below.</w:t>
      </w:r>
      <w:r w:rsidR="003958CB" w:rsidRPr="0036579A">
        <w:rPr>
          <w:rFonts w:cstheme="minorHAnsi"/>
          <w:sz w:val="32"/>
          <w:szCs w:val="28"/>
        </w:rPr>
        <w:t xml:space="preserve"> We will test this in small sections as the year progresses so that by the time of the exam you should be ready to tackle it.</w:t>
      </w:r>
    </w:p>
    <w:p w:rsidR="000C727B" w:rsidRPr="0036579A" w:rsidRDefault="000C727B">
      <w:pPr>
        <w:rPr>
          <w:rFonts w:cstheme="minorHAnsi"/>
          <w:sz w:val="28"/>
          <w:szCs w:val="24"/>
        </w:rPr>
      </w:pPr>
    </w:p>
    <w:p w:rsidR="0036579A" w:rsidRPr="0036579A" w:rsidRDefault="003127BC">
      <w:pPr>
        <w:rPr>
          <w:rFonts w:cstheme="minorHAnsi"/>
          <w:sz w:val="32"/>
          <w:szCs w:val="24"/>
        </w:rPr>
      </w:pPr>
      <w:r w:rsidRPr="0036579A">
        <w:rPr>
          <w:rFonts w:cstheme="minorHAnsi"/>
          <w:sz w:val="32"/>
          <w:szCs w:val="24"/>
        </w:rPr>
        <w:t>Below please</w:t>
      </w:r>
      <w:r w:rsidR="000C727B" w:rsidRPr="0036579A">
        <w:rPr>
          <w:rFonts w:cstheme="minorHAnsi"/>
          <w:sz w:val="32"/>
          <w:szCs w:val="24"/>
        </w:rPr>
        <w:t xml:space="preserve"> find a list of grammar already covered and the new points to be met this year. You will see there isn’t much new stuff! So this year is a lot of consolidation and expan</w:t>
      </w:r>
      <w:r w:rsidR="00975249" w:rsidRPr="0036579A">
        <w:rPr>
          <w:rFonts w:cstheme="minorHAnsi"/>
          <w:sz w:val="32"/>
          <w:szCs w:val="24"/>
        </w:rPr>
        <w:t>sion</w:t>
      </w:r>
      <w:r w:rsidR="000C727B" w:rsidRPr="0036579A">
        <w:rPr>
          <w:rFonts w:cstheme="minorHAnsi"/>
          <w:sz w:val="32"/>
          <w:szCs w:val="24"/>
        </w:rPr>
        <w:t xml:space="preserve"> of what we already know, and a great preparation for KS4, should yo</w:t>
      </w:r>
      <w:r w:rsidRPr="0036579A">
        <w:rPr>
          <w:rFonts w:cstheme="minorHAnsi"/>
          <w:sz w:val="32"/>
          <w:szCs w:val="24"/>
        </w:rPr>
        <w:t>u choose to take Latin further.</w:t>
      </w:r>
    </w:p>
    <w:p w:rsidR="0036579A" w:rsidRPr="0036579A" w:rsidRDefault="0036579A">
      <w:pPr>
        <w:rPr>
          <w:rFonts w:cstheme="minorHAns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539"/>
        <w:gridCol w:w="1933"/>
        <w:gridCol w:w="2265"/>
      </w:tblGrid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When we met it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Confident?</w:t>
            </w: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Nouns of types 1,2,3: nominative endings</w:t>
            </w: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Doing action</w:t>
            </w:r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Nouns of types 1,2,3:</w:t>
            </w:r>
          </w:p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 xml:space="preserve">Accusative endings </w:t>
            </w: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Not doing action/on receiving end</w:t>
            </w:r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2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Nouns of types 1,2,3:</w:t>
            </w:r>
          </w:p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Genitive endings</w:t>
            </w: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of</w:t>
            </w:r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17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Nouns of types 1,2,3:</w:t>
            </w:r>
          </w:p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Dative endings</w:t>
            </w: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To/for</w:t>
            </w:r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9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Present tense verbs</w:t>
            </w:r>
          </w:p>
          <w:p w:rsidR="00975249" w:rsidRPr="0036579A" w:rsidRDefault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I am ….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ing</w:t>
            </w:r>
            <w:proofErr w:type="spellEnd"/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1-12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lastRenderedPageBreak/>
              <w:t>Imperfect tense verbs</w:t>
            </w: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I was …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ing</w:t>
            </w:r>
            <w:proofErr w:type="spellEnd"/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5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Perfect tense verbs</w:t>
            </w:r>
          </w:p>
          <w:p w:rsidR="00975249" w:rsidRPr="0036579A" w:rsidRDefault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I …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ed</w:t>
            </w:r>
            <w:proofErr w:type="spellEnd"/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5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Pluperfect tense verbs</w:t>
            </w:r>
          </w:p>
        </w:tc>
        <w:tc>
          <w:tcPr>
            <w:tcW w:w="2618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I had …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ed</w:t>
            </w:r>
            <w:proofErr w:type="spellEnd"/>
          </w:p>
        </w:tc>
        <w:tc>
          <w:tcPr>
            <w:tcW w:w="2003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15</w:t>
            </w:r>
          </w:p>
        </w:tc>
        <w:tc>
          <w:tcPr>
            <w:tcW w:w="2311" w:type="dxa"/>
          </w:tcPr>
          <w:p w:rsidR="003958CB" w:rsidRPr="0036579A" w:rsidRDefault="003958CB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Comparative adjectives</w:t>
            </w:r>
          </w:p>
        </w:tc>
        <w:tc>
          <w:tcPr>
            <w:tcW w:w="2618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-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ior</w:t>
            </w:r>
            <w:proofErr w:type="spellEnd"/>
            <w:r w:rsidRPr="0036579A">
              <w:rPr>
                <w:rFonts w:cstheme="minorHAnsi"/>
                <w:sz w:val="32"/>
                <w:szCs w:val="24"/>
              </w:rPr>
              <w:t>- = ‘more’</w:t>
            </w:r>
          </w:p>
        </w:tc>
        <w:tc>
          <w:tcPr>
            <w:tcW w:w="2003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10</w:t>
            </w: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Superlative adjectives</w:t>
            </w:r>
          </w:p>
        </w:tc>
        <w:tc>
          <w:tcPr>
            <w:tcW w:w="2618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-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issim</w:t>
            </w:r>
            <w:proofErr w:type="spellEnd"/>
            <w:r w:rsidRPr="0036579A">
              <w:rPr>
                <w:rFonts w:cstheme="minorHAnsi"/>
                <w:sz w:val="32"/>
                <w:szCs w:val="24"/>
              </w:rPr>
              <w:t>- = ‘very’</w:t>
            </w:r>
          </w:p>
        </w:tc>
        <w:tc>
          <w:tcPr>
            <w:tcW w:w="2003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8</w:t>
            </w: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Relative pronouns</w:t>
            </w:r>
          </w:p>
          <w:p w:rsidR="00975249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qui, quae, quod = who</w:t>
            </w:r>
          </w:p>
        </w:tc>
        <w:tc>
          <w:tcPr>
            <w:tcW w:w="2003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14</w:t>
            </w: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Infinitives</w:t>
            </w:r>
          </w:p>
          <w:p w:rsidR="00975249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-re = ‘to + action’</w:t>
            </w:r>
          </w:p>
        </w:tc>
        <w:tc>
          <w:tcPr>
            <w:tcW w:w="2003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13</w:t>
            </w: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 xml:space="preserve">Irregular verbs: 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esse</w:t>
            </w:r>
            <w:proofErr w:type="spellEnd"/>
            <w:r w:rsidRPr="0036579A">
              <w:rPr>
                <w:rFonts w:cstheme="minorHAnsi"/>
                <w:sz w:val="32"/>
                <w:szCs w:val="24"/>
              </w:rPr>
              <w:t xml:space="preserve">, posse, 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velle</w:t>
            </w:r>
            <w:proofErr w:type="spellEnd"/>
            <w:r w:rsidRPr="0036579A">
              <w:rPr>
                <w:rFonts w:cstheme="minorHAnsi"/>
                <w:sz w:val="32"/>
                <w:szCs w:val="24"/>
              </w:rPr>
              <w:t xml:space="preserve">, 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nolle</w:t>
            </w:r>
            <w:proofErr w:type="spellEnd"/>
          </w:p>
        </w:tc>
        <w:tc>
          <w:tcPr>
            <w:tcW w:w="2618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to be, to be able, to want, to not want</w:t>
            </w:r>
          </w:p>
        </w:tc>
        <w:tc>
          <w:tcPr>
            <w:tcW w:w="2003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13</w:t>
            </w: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 xml:space="preserve">Pronouns hic and 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ille</w:t>
            </w:r>
            <w:proofErr w:type="spellEnd"/>
          </w:p>
          <w:p w:rsidR="00975249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this and that</w:t>
            </w:r>
          </w:p>
        </w:tc>
        <w:tc>
          <w:tcPr>
            <w:tcW w:w="2003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  <w:tr w:rsidR="003958CB" w:rsidRPr="0036579A" w:rsidTr="00975249">
        <w:tc>
          <w:tcPr>
            <w:tcW w:w="2310" w:type="dxa"/>
          </w:tcPr>
          <w:p w:rsidR="003958CB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Present participles</w:t>
            </w:r>
          </w:p>
          <w:p w:rsidR="00975249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18" w:type="dxa"/>
          </w:tcPr>
          <w:p w:rsidR="003958CB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-ns, -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nt</w:t>
            </w:r>
            <w:proofErr w:type="spellEnd"/>
            <w:r w:rsidRPr="0036579A">
              <w:rPr>
                <w:rFonts w:cstheme="minorHAnsi"/>
                <w:sz w:val="32"/>
                <w:szCs w:val="24"/>
              </w:rPr>
              <w:t xml:space="preserve"> - = ‘…</w:t>
            </w:r>
            <w:proofErr w:type="spellStart"/>
            <w:r w:rsidRPr="0036579A">
              <w:rPr>
                <w:rFonts w:cstheme="minorHAnsi"/>
                <w:sz w:val="32"/>
                <w:szCs w:val="24"/>
              </w:rPr>
              <w:t>ing</w:t>
            </w:r>
            <w:proofErr w:type="spellEnd"/>
            <w:r w:rsidRPr="0036579A">
              <w:rPr>
                <w:rFonts w:cstheme="minorHAnsi"/>
                <w:sz w:val="32"/>
                <w:szCs w:val="24"/>
              </w:rPr>
              <w:t>’</w:t>
            </w:r>
          </w:p>
        </w:tc>
        <w:tc>
          <w:tcPr>
            <w:tcW w:w="2003" w:type="dxa"/>
          </w:tcPr>
          <w:p w:rsidR="003958CB" w:rsidRPr="0036579A" w:rsidRDefault="00975249" w:rsidP="00975249">
            <w:pPr>
              <w:rPr>
                <w:rFonts w:cstheme="minorHAnsi"/>
                <w:sz w:val="32"/>
                <w:szCs w:val="24"/>
              </w:rPr>
            </w:pPr>
            <w:r w:rsidRPr="0036579A">
              <w:rPr>
                <w:rFonts w:cstheme="minorHAnsi"/>
                <w:sz w:val="32"/>
                <w:szCs w:val="24"/>
              </w:rPr>
              <w:t>Stage 20</w:t>
            </w:r>
          </w:p>
        </w:tc>
        <w:tc>
          <w:tcPr>
            <w:tcW w:w="2311" w:type="dxa"/>
          </w:tcPr>
          <w:p w:rsidR="003958CB" w:rsidRPr="0036579A" w:rsidRDefault="003958CB" w:rsidP="00975249">
            <w:pPr>
              <w:rPr>
                <w:rFonts w:cstheme="minorHAnsi"/>
                <w:sz w:val="32"/>
                <w:szCs w:val="24"/>
              </w:rPr>
            </w:pPr>
          </w:p>
        </w:tc>
      </w:tr>
    </w:tbl>
    <w:p w:rsidR="000C727B" w:rsidRPr="0036579A" w:rsidRDefault="000C727B">
      <w:pPr>
        <w:rPr>
          <w:sz w:val="28"/>
        </w:rPr>
      </w:pPr>
    </w:p>
    <w:p w:rsidR="00975249" w:rsidRPr="0036579A" w:rsidRDefault="00975249">
      <w:pPr>
        <w:rPr>
          <w:sz w:val="32"/>
        </w:rPr>
      </w:pPr>
      <w:r w:rsidRPr="0036579A">
        <w:rPr>
          <w:sz w:val="32"/>
        </w:rPr>
        <w:t>Grammar to be met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75"/>
        <w:gridCol w:w="2201"/>
        <w:gridCol w:w="1849"/>
      </w:tblGrid>
      <w:tr w:rsidR="00975249" w:rsidRPr="0036579A" w:rsidTr="00975249">
        <w:tc>
          <w:tcPr>
            <w:tcW w:w="2518" w:type="dxa"/>
          </w:tcPr>
          <w:p w:rsidR="00975249" w:rsidRPr="0036579A" w:rsidRDefault="00975249">
            <w:pPr>
              <w:rPr>
                <w:sz w:val="32"/>
              </w:rPr>
            </w:pPr>
            <w:r w:rsidRPr="0036579A">
              <w:rPr>
                <w:sz w:val="32"/>
              </w:rPr>
              <w:t>Perfect passive participle</w:t>
            </w:r>
          </w:p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1904" w:type="dxa"/>
          </w:tcPr>
          <w:p w:rsidR="00975249" w:rsidRPr="0036579A" w:rsidRDefault="00975249">
            <w:pPr>
              <w:rPr>
                <w:sz w:val="32"/>
              </w:rPr>
            </w:pPr>
          </w:p>
        </w:tc>
      </w:tr>
      <w:tr w:rsidR="00975249" w:rsidRPr="0036579A" w:rsidTr="00975249">
        <w:tc>
          <w:tcPr>
            <w:tcW w:w="2518" w:type="dxa"/>
          </w:tcPr>
          <w:p w:rsidR="00975249" w:rsidRPr="0036579A" w:rsidRDefault="00975249">
            <w:pPr>
              <w:rPr>
                <w:sz w:val="32"/>
              </w:rPr>
            </w:pPr>
            <w:r w:rsidRPr="0036579A">
              <w:rPr>
                <w:sz w:val="32"/>
              </w:rPr>
              <w:t>Neuter nouns</w:t>
            </w:r>
          </w:p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1904" w:type="dxa"/>
          </w:tcPr>
          <w:p w:rsidR="00975249" w:rsidRPr="0036579A" w:rsidRDefault="00975249">
            <w:pPr>
              <w:rPr>
                <w:sz w:val="32"/>
              </w:rPr>
            </w:pPr>
          </w:p>
        </w:tc>
      </w:tr>
      <w:tr w:rsidR="00975249" w:rsidRPr="0036579A" w:rsidTr="00975249">
        <w:tc>
          <w:tcPr>
            <w:tcW w:w="2518" w:type="dxa"/>
          </w:tcPr>
          <w:p w:rsidR="00975249" w:rsidRPr="0036579A" w:rsidRDefault="00975249">
            <w:pPr>
              <w:rPr>
                <w:sz w:val="32"/>
              </w:rPr>
            </w:pPr>
            <w:r w:rsidRPr="0036579A">
              <w:rPr>
                <w:sz w:val="32"/>
              </w:rPr>
              <w:t>Perfect active participle</w:t>
            </w:r>
          </w:p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1904" w:type="dxa"/>
          </w:tcPr>
          <w:p w:rsidR="00975249" w:rsidRPr="0036579A" w:rsidRDefault="00975249">
            <w:pPr>
              <w:rPr>
                <w:sz w:val="32"/>
              </w:rPr>
            </w:pPr>
          </w:p>
        </w:tc>
      </w:tr>
      <w:tr w:rsidR="00975249" w:rsidRPr="0036579A" w:rsidTr="00975249">
        <w:tc>
          <w:tcPr>
            <w:tcW w:w="2518" w:type="dxa"/>
          </w:tcPr>
          <w:p w:rsidR="00975249" w:rsidRPr="0036579A" w:rsidRDefault="00975249">
            <w:pPr>
              <w:rPr>
                <w:sz w:val="32"/>
              </w:rPr>
            </w:pPr>
            <w:r w:rsidRPr="0036579A">
              <w:rPr>
                <w:sz w:val="32"/>
              </w:rPr>
              <w:lastRenderedPageBreak/>
              <w:t>Pluperfect subjunctive</w:t>
            </w:r>
          </w:p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1904" w:type="dxa"/>
          </w:tcPr>
          <w:p w:rsidR="00975249" w:rsidRPr="0036579A" w:rsidRDefault="00975249">
            <w:pPr>
              <w:rPr>
                <w:sz w:val="32"/>
              </w:rPr>
            </w:pPr>
          </w:p>
        </w:tc>
      </w:tr>
      <w:tr w:rsidR="00975249" w:rsidRPr="0036579A" w:rsidTr="00975249">
        <w:tc>
          <w:tcPr>
            <w:tcW w:w="2518" w:type="dxa"/>
          </w:tcPr>
          <w:p w:rsidR="00975249" w:rsidRPr="0036579A" w:rsidRDefault="00975249">
            <w:pPr>
              <w:rPr>
                <w:sz w:val="32"/>
              </w:rPr>
            </w:pPr>
            <w:r w:rsidRPr="0036579A">
              <w:rPr>
                <w:sz w:val="32"/>
              </w:rPr>
              <w:t>Imperfect subjunctive</w:t>
            </w:r>
          </w:p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975249" w:rsidRPr="0036579A" w:rsidRDefault="00975249">
            <w:pPr>
              <w:rPr>
                <w:sz w:val="32"/>
              </w:rPr>
            </w:pPr>
          </w:p>
        </w:tc>
        <w:tc>
          <w:tcPr>
            <w:tcW w:w="1904" w:type="dxa"/>
          </w:tcPr>
          <w:p w:rsidR="00975249" w:rsidRPr="0036579A" w:rsidRDefault="00975249">
            <w:pPr>
              <w:rPr>
                <w:sz w:val="32"/>
              </w:rPr>
            </w:pPr>
          </w:p>
        </w:tc>
      </w:tr>
    </w:tbl>
    <w:p w:rsidR="00975249" w:rsidRDefault="00975249">
      <w:pPr>
        <w:rPr>
          <w:sz w:val="32"/>
        </w:rPr>
      </w:pPr>
    </w:p>
    <w:p w:rsidR="0036579A" w:rsidRDefault="0036579A">
      <w:pPr>
        <w:rPr>
          <w:sz w:val="32"/>
        </w:rPr>
      </w:pPr>
    </w:p>
    <w:p w:rsidR="0036579A" w:rsidRDefault="0036579A">
      <w:pPr>
        <w:rPr>
          <w:sz w:val="32"/>
        </w:rPr>
      </w:pPr>
      <w:r>
        <w:rPr>
          <w:sz w:val="32"/>
        </w:rPr>
        <w:t>Notes:</w:t>
      </w:r>
    </w:p>
    <w:p w:rsidR="0036579A" w:rsidRPr="00E57540" w:rsidRDefault="0036579A" w:rsidP="0036579A">
      <w:pPr>
        <w:pStyle w:val="Header"/>
        <w:jc w:val="center"/>
        <w:rPr>
          <w:rFonts w:ascii="Palatino Linotype" w:hAnsi="Palatino Linotype"/>
          <w:sz w:val="18"/>
          <w:szCs w:val="18"/>
        </w:rPr>
      </w:pPr>
    </w:p>
    <w:p w:rsidR="0036579A" w:rsidRDefault="0036579A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Default="008E2D9E" w:rsidP="0036579A">
      <w:pPr>
        <w:rPr>
          <w:sz w:val="32"/>
        </w:rPr>
      </w:pPr>
    </w:p>
    <w:p w:rsidR="008E2D9E" w:rsidRPr="00CD263B" w:rsidRDefault="008E2D9E" w:rsidP="0036579A">
      <w:pPr>
        <w:rPr>
          <w:rFonts w:ascii="Palatino Linotype" w:hAnsi="Palatino Linotype"/>
        </w:rPr>
      </w:pPr>
      <w:r w:rsidRPr="008E2D9E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-648586</wp:posOffset>
            </wp:positionV>
            <wp:extent cx="6612610" cy="9845335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515" cy="986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9E" w:rsidRDefault="008E2D9E">
      <w:pPr>
        <w:rPr>
          <w:sz w:val="32"/>
        </w:rPr>
      </w:pPr>
    </w:p>
    <w:p w:rsidR="008E2D9E" w:rsidRDefault="008E2D9E">
      <w:pPr>
        <w:rPr>
          <w:sz w:val="32"/>
        </w:rPr>
      </w:pPr>
      <w:bookmarkStart w:id="0" w:name="_GoBack"/>
      <w:bookmarkEnd w:id="0"/>
      <w:r>
        <w:rPr>
          <w:sz w:val="32"/>
        </w:rPr>
        <w:br w:type="page"/>
      </w:r>
      <w:r w:rsidRPr="008E2D9E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-329609</wp:posOffset>
            </wp:positionH>
            <wp:positionV relativeFrom="paragraph">
              <wp:posOffset>-510363</wp:posOffset>
            </wp:positionV>
            <wp:extent cx="6651154" cy="9346019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94" cy="936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br w:type="page"/>
      </w:r>
    </w:p>
    <w:p w:rsidR="008E2D9E" w:rsidRDefault="008E2D9E">
      <w:pPr>
        <w:rPr>
          <w:sz w:val="32"/>
        </w:rPr>
      </w:pPr>
      <w:r w:rsidRPr="008E2D9E">
        <w:lastRenderedPageBreak/>
        <w:drawing>
          <wp:anchor distT="0" distB="0" distL="114300" distR="114300" simplePos="0" relativeHeight="251660288" behindDoc="1" locked="0" layoutInCell="1" allowOverlap="1" wp14:anchorId="035729F2" wp14:editId="41F0DA5E">
            <wp:simplePos x="0" y="0"/>
            <wp:positionH relativeFrom="column">
              <wp:posOffset>-414655</wp:posOffset>
            </wp:positionH>
            <wp:positionV relativeFrom="paragraph">
              <wp:posOffset>-371564</wp:posOffset>
            </wp:positionV>
            <wp:extent cx="6738375" cy="9133368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75" cy="91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9E" w:rsidRDefault="008E2D9E">
      <w:pPr>
        <w:rPr>
          <w:sz w:val="32"/>
        </w:rPr>
      </w:pPr>
      <w:r>
        <w:rPr>
          <w:sz w:val="32"/>
        </w:rPr>
        <w:br w:type="page"/>
      </w:r>
    </w:p>
    <w:p w:rsidR="008E2D9E" w:rsidRDefault="008E2D9E">
      <w:pPr>
        <w:rPr>
          <w:sz w:val="32"/>
        </w:rPr>
      </w:pPr>
      <w:r w:rsidRPr="008E2D9E">
        <w:lastRenderedPageBreak/>
        <w:drawing>
          <wp:anchor distT="0" distB="0" distL="114300" distR="114300" simplePos="0" relativeHeight="251661312" behindDoc="1" locked="0" layoutInCell="1" allowOverlap="1" wp14:anchorId="03186F38" wp14:editId="5B6F680C">
            <wp:simplePos x="0" y="0"/>
            <wp:positionH relativeFrom="column">
              <wp:posOffset>-435935</wp:posOffset>
            </wp:positionH>
            <wp:positionV relativeFrom="paragraph">
              <wp:posOffset>-563526</wp:posOffset>
            </wp:positionV>
            <wp:extent cx="6532332" cy="9548038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46" cy="955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9A" w:rsidRPr="0036579A" w:rsidRDefault="0036579A">
      <w:pPr>
        <w:rPr>
          <w:sz w:val="32"/>
        </w:rPr>
      </w:pPr>
    </w:p>
    <w:sectPr w:rsidR="0036579A" w:rsidRPr="0036579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9A" w:rsidRDefault="0036579A" w:rsidP="0036579A">
      <w:r>
        <w:separator/>
      </w:r>
    </w:p>
  </w:endnote>
  <w:endnote w:type="continuationSeparator" w:id="0">
    <w:p w:rsidR="0036579A" w:rsidRDefault="0036579A" w:rsidP="0036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02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79A" w:rsidRDefault="00365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579A" w:rsidRDefault="0036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9A" w:rsidRDefault="0036579A" w:rsidP="0036579A">
      <w:r>
        <w:separator/>
      </w:r>
    </w:p>
  </w:footnote>
  <w:footnote w:type="continuationSeparator" w:id="0">
    <w:p w:rsidR="0036579A" w:rsidRDefault="0036579A" w:rsidP="0036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9A" w:rsidRDefault="0036579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D5BB6"/>
    <w:multiLevelType w:val="hybridMultilevel"/>
    <w:tmpl w:val="3F50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7B"/>
    <w:rsid w:val="000C727B"/>
    <w:rsid w:val="003127BC"/>
    <w:rsid w:val="0036579A"/>
    <w:rsid w:val="003958CB"/>
    <w:rsid w:val="003C2B96"/>
    <w:rsid w:val="008E2D9E"/>
    <w:rsid w:val="00975249"/>
    <w:rsid w:val="00A25E9F"/>
    <w:rsid w:val="00A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DB6B8-0047-469B-A2C8-710D594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5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79A"/>
  </w:style>
  <w:style w:type="paragraph" w:styleId="Footer">
    <w:name w:val="footer"/>
    <w:basedOn w:val="Normal"/>
    <w:link w:val="FooterChar"/>
    <w:uiPriority w:val="99"/>
    <w:unhideWhenUsed/>
    <w:rsid w:val="00365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 School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FISHER_A</dc:creator>
  <cp:lastModifiedBy>Risdon_T</cp:lastModifiedBy>
  <cp:revision>3</cp:revision>
  <cp:lastPrinted>2013-07-18T11:34:00Z</cp:lastPrinted>
  <dcterms:created xsi:type="dcterms:W3CDTF">2014-09-19T10:04:00Z</dcterms:created>
  <dcterms:modified xsi:type="dcterms:W3CDTF">2014-09-19T10:47:00Z</dcterms:modified>
</cp:coreProperties>
</file>